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86" w:rsidRPr="00DB2DBE" w:rsidRDefault="00741D86" w:rsidP="00741D86">
      <w:pPr>
        <w:widowControl/>
        <w:adjustRightInd w:val="0"/>
        <w:snapToGrid w:val="0"/>
        <w:spacing w:line="500" w:lineRule="exact"/>
        <w:jc w:val="left"/>
        <w:rPr>
          <w:rFonts w:ascii="仿宋_GB2312" w:eastAsia="仿宋_GB2312" w:hint="eastAsia"/>
          <w:sz w:val="32"/>
          <w:szCs w:val="32"/>
        </w:rPr>
      </w:pPr>
      <w:r w:rsidRPr="00D9070E"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安徽三联学院秋季学期学生错峰开学报到方案</w:t>
      </w:r>
    </w:p>
    <w:p w:rsidR="00741D86" w:rsidRPr="00D9070E" w:rsidRDefault="00741D86" w:rsidP="00741D86">
      <w:pPr>
        <w:adjustRightInd w:val="0"/>
        <w:snapToGrid w:val="0"/>
        <w:spacing w:line="500" w:lineRule="exact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</w:p>
    <w:p w:rsidR="00741D86" w:rsidRDefault="00741D86" w:rsidP="00741D8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D9070E">
        <w:rPr>
          <w:rFonts w:ascii="仿宋_GB2312" w:eastAsia="仿宋_GB2312" w:hAnsi="仿宋" w:cs="仿宋" w:hint="eastAsia"/>
          <w:color w:val="000000"/>
          <w:sz w:val="32"/>
          <w:szCs w:val="32"/>
        </w:rPr>
        <w:t>疫情防控期间，学生返校报到实行分类分时错峰报到，为切实做好学生开学报到工作，结合我校实际，特制定本方案。</w:t>
      </w:r>
    </w:p>
    <w:p w:rsidR="00741D86" w:rsidRDefault="00741D86" w:rsidP="00741D86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仿宋" w:hint="eastAsia"/>
          <w:bCs/>
          <w:color w:val="000000"/>
          <w:sz w:val="32"/>
          <w:szCs w:val="32"/>
        </w:rPr>
      </w:pPr>
      <w:r w:rsidRPr="00D9070E">
        <w:rPr>
          <w:rFonts w:ascii="黑体" w:eastAsia="黑体" w:hAnsi="黑体" w:cs="仿宋" w:hint="eastAsia"/>
          <w:bCs/>
          <w:color w:val="000000"/>
          <w:sz w:val="32"/>
          <w:szCs w:val="32"/>
        </w:rPr>
        <w:t>一、返校方式及日期</w:t>
      </w:r>
    </w:p>
    <w:p w:rsidR="00741D86" w:rsidRPr="00D9070E" w:rsidRDefault="00741D86" w:rsidP="00741D86">
      <w:pPr>
        <w:spacing w:line="520" w:lineRule="exact"/>
        <w:ind w:firstLineChars="200" w:firstLine="640"/>
        <w:rPr>
          <w:rFonts w:ascii="楷体" w:eastAsia="楷体" w:hAnsi="楷体" w:cs="仿宋"/>
          <w:bCs/>
          <w:color w:val="000000"/>
          <w:sz w:val="32"/>
          <w:szCs w:val="32"/>
        </w:rPr>
      </w:pPr>
      <w:r w:rsidRPr="00D9070E">
        <w:rPr>
          <w:rFonts w:ascii="楷体" w:eastAsia="楷体" w:hAnsi="楷体" w:cs="仿宋" w:hint="eastAsia"/>
          <w:bCs/>
          <w:color w:val="000000"/>
          <w:sz w:val="32"/>
          <w:szCs w:val="32"/>
        </w:rPr>
        <w:t>（一）返校方式：分学院有序返校</w:t>
      </w:r>
    </w:p>
    <w:p w:rsidR="00741D86" w:rsidRPr="00D9070E" w:rsidRDefault="00741D86" w:rsidP="00741D86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D9070E">
        <w:rPr>
          <w:rFonts w:ascii="仿宋" w:eastAsia="仿宋" w:hAnsi="仿宋" w:cs="仿宋" w:hint="eastAsia"/>
          <w:color w:val="000000"/>
          <w:sz w:val="32"/>
          <w:szCs w:val="32"/>
        </w:rPr>
        <w:t>2018级本科、2019级本科、2019级专升本、2019级专科学生按照学院返校日期错峰报到。</w:t>
      </w:r>
    </w:p>
    <w:p w:rsidR="00741D86" w:rsidRPr="00D9070E" w:rsidRDefault="00741D86" w:rsidP="00741D86">
      <w:pPr>
        <w:spacing w:line="520" w:lineRule="exact"/>
        <w:ind w:firstLineChars="200" w:firstLine="640"/>
        <w:rPr>
          <w:rFonts w:ascii="楷体" w:eastAsia="楷体" w:hAnsi="楷体" w:cs="仿宋"/>
          <w:bCs/>
          <w:color w:val="000000"/>
          <w:sz w:val="32"/>
          <w:szCs w:val="32"/>
        </w:rPr>
      </w:pPr>
      <w:r w:rsidRPr="00D9070E">
        <w:rPr>
          <w:rFonts w:ascii="楷体" w:eastAsia="楷体" w:hAnsi="楷体" w:cs="仿宋" w:hint="eastAsia"/>
          <w:bCs/>
          <w:color w:val="000000"/>
          <w:sz w:val="32"/>
          <w:szCs w:val="32"/>
        </w:rPr>
        <w:t>（二）返校日期：9月5日-7日</w:t>
      </w:r>
    </w:p>
    <w:tbl>
      <w:tblPr>
        <w:tblpPr w:leftFromText="180" w:rightFromText="180" w:vertAnchor="text" w:horzAnchor="page" w:tblpXSpec="center" w:tblpY="635"/>
        <w:tblOverlap w:val="never"/>
        <w:tblW w:w="51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7"/>
        <w:gridCol w:w="6417"/>
      </w:tblGrid>
      <w:tr w:rsidR="00741D86" w:rsidRPr="00DB7C3D" w:rsidTr="007C00CB">
        <w:trPr>
          <w:jc w:val="center"/>
        </w:trPr>
        <w:tc>
          <w:tcPr>
            <w:tcW w:w="1666" w:type="pct"/>
            <w:vAlign w:val="center"/>
          </w:tcPr>
          <w:p w:rsidR="00741D86" w:rsidRPr="00DB7C3D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30"/>
              </w:rPr>
            </w:pPr>
            <w:r w:rsidRPr="00DB7C3D">
              <w:rPr>
                <w:rFonts w:ascii="仿宋" w:eastAsia="仿宋" w:hAnsi="仿宋" w:cs="仿宋" w:hint="eastAsia"/>
                <w:b/>
                <w:color w:val="000000"/>
                <w:sz w:val="28"/>
                <w:szCs w:val="30"/>
              </w:rPr>
              <w:t>返校日期</w:t>
            </w:r>
          </w:p>
        </w:tc>
        <w:tc>
          <w:tcPr>
            <w:tcW w:w="3334" w:type="pct"/>
            <w:vAlign w:val="center"/>
          </w:tcPr>
          <w:p w:rsidR="00741D86" w:rsidRPr="00DB7C3D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30"/>
              </w:rPr>
            </w:pPr>
            <w:r w:rsidRPr="00DB7C3D">
              <w:rPr>
                <w:rFonts w:ascii="仿宋" w:eastAsia="仿宋" w:hAnsi="仿宋" w:cs="仿宋" w:hint="eastAsia"/>
                <w:b/>
                <w:color w:val="000000"/>
                <w:sz w:val="28"/>
                <w:szCs w:val="30"/>
              </w:rPr>
              <w:t>学院</w:t>
            </w:r>
          </w:p>
        </w:tc>
      </w:tr>
      <w:tr w:rsidR="00741D86" w:rsidRPr="00D9070E" w:rsidTr="007C00CB">
        <w:trPr>
          <w:trHeight w:val="1325"/>
          <w:jc w:val="center"/>
        </w:trPr>
        <w:tc>
          <w:tcPr>
            <w:tcW w:w="1666" w:type="pct"/>
            <w:vMerge w:val="restart"/>
            <w:vAlign w:val="center"/>
          </w:tcPr>
          <w:p w:rsidR="00741D86" w:rsidRPr="00D9070E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0"/>
              </w:rPr>
            </w:pPr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9月5日</w:t>
            </w:r>
          </w:p>
        </w:tc>
        <w:tc>
          <w:tcPr>
            <w:tcW w:w="3334" w:type="pct"/>
          </w:tcPr>
          <w:p w:rsidR="00741D86" w:rsidRPr="00D9070E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0"/>
              </w:rPr>
            </w:pPr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交通工程学院、机械工程学院、</w:t>
            </w:r>
          </w:p>
          <w:p w:rsidR="00741D86" w:rsidRPr="00D9070E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0"/>
              </w:rPr>
            </w:pPr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外语学院</w:t>
            </w:r>
          </w:p>
        </w:tc>
      </w:tr>
      <w:tr w:rsidR="00741D86" w:rsidRPr="00D9070E" w:rsidTr="007C00CB">
        <w:trPr>
          <w:trHeight w:val="745"/>
          <w:jc w:val="center"/>
        </w:trPr>
        <w:tc>
          <w:tcPr>
            <w:tcW w:w="1666" w:type="pct"/>
            <w:vMerge/>
            <w:vAlign w:val="center"/>
          </w:tcPr>
          <w:p w:rsidR="00741D86" w:rsidRPr="00D9070E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0"/>
              </w:rPr>
            </w:pPr>
          </w:p>
        </w:tc>
        <w:tc>
          <w:tcPr>
            <w:tcW w:w="3334" w:type="pct"/>
          </w:tcPr>
          <w:p w:rsidR="00741D86" w:rsidRPr="00D9070E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0"/>
              </w:rPr>
            </w:pPr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护理学院（</w:t>
            </w:r>
            <w:proofErr w:type="gramStart"/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亿华校区</w:t>
            </w:r>
            <w:proofErr w:type="gramEnd"/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）</w:t>
            </w:r>
          </w:p>
        </w:tc>
      </w:tr>
      <w:tr w:rsidR="00741D86" w:rsidRPr="00D9070E" w:rsidTr="007C00CB">
        <w:trPr>
          <w:trHeight w:val="1430"/>
          <w:jc w:val="center"/>
        </w:trPr>
        <w:tc>
          <w:tcPr>
            <w:tcW w:w="1666" w:type="pct"/>
            <w:vAlign w:val="center"/>
          </w:tcPr>
          <w:p w:rsidR="00741D86" w:rsidRPr="00D9070E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0"/>
              </w:rPr>
            </w:pPr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9月6日</w:t>
            </w:r>
          </w:p>
        </w:tc>
        <w:tc>
          <w:tcPr>
            <w:tcW w:w="3334" w:type="pct"/>
            <w:vAlign w:val="center"/>
          </w:tcPr>
          <w:p w:rsidR="00741D86" w:rsidRPr="00D9070E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0"/>
              </w:rPr>
            </w:pPr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财会学院、经济管理学院</w:t>
            </w:r>
          </w:p>
        </w:tc>
      </w:tr>
      <w:tr w:rsidR="00741D86" w:rsidRPr="00D9070E" w:rsidTr="007C00CB">
        <w:trPr>
          <w:trHeight w:val="1430"/>
          <w:jc w:val="center"/>
        </w:trPr>
        <w:tc>
          <w:tcPr>
            <w:tcW w:w="1666" w:type="pct"/>
            <w:vAlign w:val="center"/>
          </w:tcPr>
          <w:p w:rsidR="00741D86" w:rsidRPr="00D9070E" w:rsidRDefault="00741D86" w:rsidP="007C00CB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30"/>
              </w:rPr>
            </w:pPr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9月7日</w:t>
            </w:r>
          </w:p>
        </w:tc>
        <w:tc>
          <w:tcPr>
            <w:tcW w:w="3334" w:type="pct"/>
          </w:tcPr>
          <w:p w:rsidR="00741D86" w:rsidRPr="00D9070E" w:rsidRDefault="00741D86" w:rsidP="007C00CB">
            <w:pPr>
              <w:spacing w:line="600" w:lineRule="exact"/>
              <w:rPr>
                <w:rFonts w:ascii="仿宋" w:eastAsia="仿宋" w:hAnsi="仿宋" w:cs="仿宋"/>
                <w:color w:val="000000"/>
                <w:sz w:val="28"/>
                <w:szCs w:val="30"/>
              </w:rPr>
            </w:pPr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电子电气工程学院、计算机工程学院、</w:t>
            </w:r>
            <w:proofErr w:type="gramStart"/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动漫与</w:t>
            </w:r>
            <w:proofErr w:type="gramEnd"/>
            <w:r w:rsidRPr="00D9070E">
              <w:rPr>
                <w:rFonts w:ascii="仿宋" w:eastAsia="仿宋" w:hAnsi="仿宋" w:cs="仿宋" w:hint="eastAsia"/>
                <w:color w:val="000000"/>
                <w:sz w:val="28"/>
                <w:szCs w:val="30"/>
              </w:rPr>
              <w:t>数字艺术学院、机器人工程学院</w:t>
            </w:r>
          </w:p>
        </w:tc>
      </w:tr>
    </w:tbl>
    <w:p w:rsidR="00741D86" w:rsidRPr="00083013" w:rsidRDefault="00741D86" w:rsidP="00741D86">
      <w:pPr>
        <w:adjustRightInd w:val="0"/>
        <w:snapToGrid w:val="0"/>
        <w:spacing w:line="500" w:lineRule="exact"/>
        <w:rPr>
          <w:rFonts w:ascii="楷体" w:eastAsia="楷体" w:hAnsi="楷体" w:cs="仿宋" w:hint="eastAsia"/>
          <w:bCs/>
          <w:color w:val="000000"/>
          <w:sz w:val="32"/>
          <w:szCs w:val="32"/>
        </w:rPr>
      </w:pPr>
    </w:p>
    <w:p w:rsidR="00741D86" w:rsidRPr="001A24EF" w:rsidRDefault="00741D86" w:rsidP="00741D86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仿宋" w:hint="eastAsia"/>
          <w:bCs/>
          <w:color w:val="000000"/>
          <w:sz w:val="32"/>
          <w:szCs w:val="32"/>
        </w:rPr>
      </w:pPr>
      <w:r w:rsidRPr="001A24EF">
        <w:rPr>
          <w:rFonts w:ascii="楷体" w:eastAsia="楷体" w:hAnsi="楷体" w:cs="仿宋" w:hint="eastAsia"/>
          <w:bCs/>
          <w:color w:val="000000"/>
          <w:sz w:val="32"/>
          <w:szCs w:val="32"/>
        </w:rPr>
        <w:t>(三)返校条件：</w:t>
      </w:r>
    </w:p>
    <w:p w:rsidR="00741D86" w:rsidRPr="001A24EF" w:rsidRDefault="00741D86" w:rsidP="00741D86">
      <w:pPr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1.低风险地区学生，持健康通行码</w:t>
      </w:r>
      <w:r w:rsidRPr="001A24EF">
        <w:rPr>
          <w:rFonts w:ascii="仿宋" w:eastAsia="仿宋" w:hAnsi="仿宋" w:cs="仿宋_GB2312" w:hint="eastAsia"/>
          <w:sz w:val="32"/>
          <w:szCs w:val="32"/>
          <w:lang w:val="zh-CN" w:bidi="zh-CN"/>
        </w:rPr>
        <w:t>“绿</w:t>
      </w:r>
      <w:r w:rsidRPr="001A24EF">
        <w:rPr>
          <w:rFonts w:ascii="仿宋" w:eastAsia="仿宋" w:hAnsi="仿宋" w:cs="仿宋_GB2312" w:hint="eastAsia"/>
          <w:sz w:val="32"/>
          <w:szCs w:val="32"/>
        </w:rPr>
        <w:t>码”返校报到。</w:t>
      </w:r>
    </w:p>
    <w:p w:rsidR="00741D86" w:rsidRPr="001A24EF" w:rsidRDefault="00741D86" w:rsidP="00741D86">
      <w:pPr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2.中高风险地区学生须持健康通行码“绿码”及7日内核酸检测阴性证明返校报到。</w:t>
      </w:r>
    </w:p>
    <w:p w:rsidR="00741D86" w:rsidRPr="001A24EF" w:rsidRDefault="00741D86" w:rsidP="00741D86">
      <w:pPr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3.近期从境外返回的学生，严格落实境外</w:t>
      </w:r>
      <w:proofErr w:type="gramStart"/>
      <w:r w:rsidRPr="001A24EF">
        <w:rPr>
          <w:rFonts w:ascii="仿宋" w:eastAsia="仿宋" w:hAnsi="仿宋" w:cs="仿宋_GB2312" w:hint="eastAsia"/>
          <w:sz w:val="32"/>
          <w:szCs w:val="32"/>
        </w:rPr>
        <w:t>返皖人员管</w:t>
      </w:r>
      <w:proofErr w:type="gramEnd"/>
      <w:r w:rsidRPr="001A24EF">
        <w:rPr>
          <w:rFonts w:ascii="仿宋" w:eastAsia="仿宋" w:hAnsi="仿宋" w:cs="仿宋_GB2312" w:hint="eastAsia"/>
          <w:sz w:val="32"/>
          <w:szCs w:val="32"/>
        </w:rPr>
        <w:t>控措施，解除集中医学观察后，持7</w:t>
      </w:r>
      <w:r w:rsidRPr="001A24EF"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  <w:r w:rsidRPr="001A24EF">
        <w:rPr>
          <w:rFonts w:ascii="仿宋" w:eastAsia="仿宋" w:hAnsi="仿宋" w:cs="仿宋_GB2312" w:hint="eastAsia"/>
          <w:sz w:val="32"/>
          <w:szCs w:val="32"/>
        </w:rPr>
        <w:t>内核酸检测阴性证明和健康通行码</w:t>
      </w:r>
      <w:r w:rsidRPr="001A24EF">
        <w:rPr>
          <w:rFonts w:ascii="仿宋" w:eastAsia="仿宋" w:hAnsi="仿宋" w:cs="仿宋_GB2312" w:hint="eastAsia"/>
          <w:sz w:val="32"/>
          <w:szCs w:val="32"/>
          <w:lang w:val="zh-CN" w:bidi="zh-CN"/>
        </w:rPr>
        <w:lastRenderedPageBreak/>
        <w:t>“绿</w:t>
      </w:r>
      <w:r w:rsidRPr="001A24EF">
        <w:rPr>
          <w:rFonts w:ascii="仿宋" w:eastAsia="仿宋" w:hAnsi="仿宋" w:cs="仿宋_GB2312" w:hint="eastAsia"/>
          <w:sz w:val="32"/>
          <w:szCs w:val="32"/>
        </w:rPr>
        <w:t>码”返校报到。</w:t>
      </w:r>
    </w:p>
    <w:p w:rsidR="00741D86" w:rsidRPr="001A24EF" w:rsidRDefault="00741D86" w:rsidP="00741D86">
      <w:pPr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4.本人或共同居住的家庭成员现为确诊病例、核酸检测阳性者、疑似病例、密切接触者的，暂不返校报到。</w:t>
      </w:r>
    </w:p>
    <w:p w:rsidR="00741D86" w:rsidRPr="001A24EF" w:rsidRDefault="00741D86" w:rsidP="00741D86">
      <w:pPr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5.本人或共同居住的家庭成员曾为确诊病例、核酸检测阳性者、疑似病例、密切接触者的，须持7日内核酸检测阴性证明和健康通行码</w:t>
      </w:r>
      <w:r w:rsidRPr="001A24EF">
        <w:rPr>
          <w:rFonts w:ascii="仿宋" w:eastAsia="仿宋" w:hAnsi="仿宋" w:cs="仿宋_GB2312" w:hint="eastAsia"/>
          <w:sz w:val="32"/>
          <w:szCs w:val="32"/>
          <w:lang w:val="zh-CN" w:bidi="zh-CN"/>
        </w:rPr>
        <w:t>“绿</w:t>
      </w:r>
      <w:r w:rsidRPr="001A24EF">
        <w:rPr>
          <w:rFonts w:ascii="仿宋" w:eastAsia="仿宋" w:hAnsi="仿宋" w:cs="仿宋_GB2312" w:hint="eastAsia"/>
          <w:sz w:val="32"/>
          <w:szCs w:val="32"/>
        </w:rPr>
        <w:t>码”返校报到。</w:t>
      </w:r>
    </w:p>
    <w:p w:rsidR="00741D86" w:rsidRPr="00E97928" w:rsidRDefault="00741D86" w:rsidP="00741D86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0"/>
          <w:szCs w:val="30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6.有发热、干咳、腹泻等症状且排除新冠病毒感染的学生，暂不返校，待治疗无症状并报学校批准后，可返校报到。</w:t>
      </w:r>
    </w:p>
    <w:p w:rsidR="00741D86" w:rsidRPr="001A24EF" w:rsidRDefault="00741D86" w:rsidP="00741D86">
      <w:pPr>
        <w:spacing w:line="520" w:lineRule="exact"/>
        <w:ind w:firstLineChars="200" w:firstLine="640"/>
        <w:rPr>
          <w:rFonts w:ascii="黑体" w:eastAsia="黑体" w:hAnsi="黑体" w:cs="仿宋"/>
          <w:bCs/>
          <w:color w:val="000000"/>
          <w:sz w:val="32"/>
          <w:szCs w:val="32"/>
        </w:rPr>
      </w:pPr>
      <w:r w:rsidRPr="001A24EF">
        <w:rPr>
          <w:rFonts w:ascii="黑体" w:eastAsia="黑体" w:hAnsi="黑体" w:cs="仿宋" w:hint="eastAsia"/>
          <w:bCs/>
          <w:color w:val="000000"/>
          <w:sz w:val="32"/>
          <w:szCs w:val="32"/>
        </w:rPr>
        <w:t>二、返校当天工作安排</w:t>
      </w:r>
    </w:p>
    <w:p w:rsidR="00741D86" w:rsidRPr="00E97928" w:rsidRDefault="00741D86" w:rsidP="00741D86">
      <w:pPr>
        <w:spacing w:line="520" w:lineRule="exact"/>
        <w:ind w:firstLineChars="200" w:firstLine="640"/>
        <w:rPr>
          <w:rFonts w:ascii="仿宋" w:eastAsia="仿宋" w:hAnsi="仿宋" w:cs="仿宋"/>
          <w:color w:val="000000"/>
          <w:sz w:val="30"/>
          <w:szCs w:val="30"/>
        </w:rPr>
      </w:pPr>
      <w:r w:rsidRPr="001A24EF">
        <w:rPr>
          <w:rFonts w:ascii="楷体" w:eastAsia="楷体" w:hAnsi="楷体" w:cs="仿宋" w:hint="eastAsia"/>
          <w:color w:val="000000"/>
          <w:sz w:val="32"/>
          <w:szCs w:val="32"/>
        </w:rPr>
        <w:t>（一）返校途中学生个人防护措施及注意事项</w:t>
      </w:r>
    </w:p>
    <w:p w:rsidR="00741D86" w:rsidRPr="001A24EF" w:rsidRDefault="00741D86" w:rsidP="00741D86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乘坐公共交通工具返校</w:t>
      </w:r>
      <w:r>
        <w:rPr>
          <w:rFonts w:ascii="仿宋" w:eastAsia="仿宋" w:hAnsi="仿宋" w:cs="仿宋_GB2312" w:hint="eastAsia"/>
          <w:sz w:val="32"/>
          <w:szCs w:val="32"/>
        </w:rPr>
        <w:t>的学生，</w:t>
      </w:r>
      <w:r w:rsidRPr="001A24EF">
        <w:rPr>
          <w:rFonts w:ascii="仿宋" w:eastAsia="仿宋" w:hAnsi="仿宋" w:cs="仿宋_GB2312" w:hint="eastAsia"/>
          <w:sz w:val="32"/>
          <w:szCs w:val="32"/>
        </w:rPr>
        <w:t>全程佩戴一次性医用口罩或医用外科口罩或KN95/N95口罩；随时保持手</w:t>
      </w:r>
      <w:r>
        <w:rPr>
          <w:rFonts w:ascii="仿宋" w:eastAsia="仿宋" w:hAnsi="仿宋" w:cs="仿宋_GB2312" w:hint="eastAsia"/>
          <w:sz w:val="32"/>
          <w:szCs w:val="32"/>
        </w:rPr>
        <w:t>部</w:t>
      </w:r>
      <w:r w:rsidRPr="001A24EF">
        <w:rPr>
          <w:rFonts w:ascii="仿宋" w:eastAsia="仿宋" w:hAnsi="仿宋" w:cs="仿宋_GB2312" w:hint="eastAsia"/>
          <w:sz w:val="32"/>
          <w:szCs w:val="32"/>
        </w:rPr>
        <w:t>卫生，减少接触交通工具的公共物品或部位；接触公共物品、咳嗽手捂之后、饭前便后，用肥皂或者洗手液和流动水洗手，避免用手接触口鼻眼，全程留意周围旅客状况，避免与可疑人员近距离接触。</w:t>
      </w:r>
    </w:p>
    <w:p w:rsidR="00741D86" w:rsidRPr="001A24EF" w:rsidRDefault="00741D86" w:rsidP="00741D86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做好健康检测，返校途中自觉发热时要主动测量体温。若出现可疑症状，尽量避免接触其他人员，及时向所在班级辅导员、学院报告，同时到指定医院就诊。</w:t>
      </w:r>
    </w:p>
    <w:p w:rsidR="00741D86" w:rsidRPr="001A24EF" w:rsidRDefault="00741D86" w:rsidP="00741D86">
      <w:pPr>
        <w:spacing w:line="520" w:lineRule="exact"/>
        <w:ind w:firstLineChars="200" w:firstLine="640"/>
        <w:rPr>
          <w:rFonts w:ascii="楷体" w:eastAsia="楷体" w:hAnsi="楷体" w:cs="仿宋"/>
          <w:color w:val="000000"/>
          <w:sz w:val="32"/>
          <w:szCs w:val="32"/>
        </w:rPr>
      </w:pPr>
      <w:r w:rsidRPr="001A24EF">
        <w:rPr>
          <w:rFonts w:ascii="楷体" w:eastAsia="楷体" w:hAnsi="楷体" w:cs="仿宋" w:hint="eastAsia"/>
          <w:color w:val="000000"/>
          <w:sz w:val="32"/>
          <w:szCs w:val="32"/>
        </w:rPr>
        <w:t>（二）把好学生返校校门、宿舍两道关口</w:t>
      </w:r>
    </w:p>
    <w:p w:rsidR="00741D86" w:rsidRPr="001A24EF" w:rsidRDefault="00741D86" w:rsidP="00741D86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1.报到期间实施“一测二核三查四领五交”的报到机制。即测体温，核对身份信息（是否同意返校），查验“安康码”健康</w:t>
      </w:r>
      <w:proofErr w:type="gramStart"/>
      <w:r w:rsidRPr="001A24EF">
        <w:rPr>
          <w:rFonts w:ascii="仿宋" w:eastAsia="仿宋" w:hAnsi="仿宋" w:cs="仿宋_GB2312" w:hint="eastAsia"/>
          <w:sz w:val="32"/>
          <w:szCs w:val="32"/>
        </w:rPr>
        <w:t>二维码和</w:t>
      </w:r>
      <w:proofErr w:type="gramEnd"/>
      <w:r w:rsidRPr="001A24EF">
        <w:rPr>
          <w:rFonts w:ascii="仿宋" w:eastAsia="仿宋" w:hAnsi="仿宋" w:cs="仿宋_GB2312" w:hint="eastAsia"/>
          <w:sz w:val="32"/>
          <w:szCs w:val="32"/>
        </w:rPr>
        <w:t>个人旅行轨迹信息，检测与核查无误后，学生领取报到通行证进入校区，至宿舍</w:t>
      </w:r>
      <w:proofErr w:type="gramStart"/>
      <w:r w:rsidRPr="001A24EF">
        <w:rPr>
          <w:rFonts w:ascii="仿宋" w:eastAsia="仿宋" w:hAnsi="仿宋" w:cs="仿宋_GB2312" w:hint="eastAsia"/>
          <w:sz w:val="32"/>
          <w:szCs w:val="32"/>
        </w:rPr>
        <w:t>楼上交</w:t>
      </w:r>
      <w:proofErr w:type="gramEnd"/>
      <w:r w:rsidRPr="001A24EF">
        <w:rPr>
          <w:rFonts w:ascii="仿宋" w:eastAsia="仿宋" w:hAnsi="仿宋" w:cs="仿宋_GB2312" w:hint="eastAsia"/>
          <w:sz w:val="32"/>
          <w:szCs w:val="32"/>
        </w:rPr>
        <w:t>报到通行证并再次测温正常后，报到完成。</w:t>
      </w:r>
    </w:p>
    <w:p w:rsidR="00741D86" w:rsidRPr="001A24EF" w:rsidRDefault="00741D86" w:rsidP="00741D86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2.组建由保卫处、总务处、校医院、学生处和各学院组成的报到工作组，依据学生填报的返校时间段统计，做好学生进校测温查验工作，随时增减入校检查通道数量，防止人员聚集拥堵。</w:t>
      </w:r>
      <w:r w:rsidRPr="001A24EF">
        <w:rPr>
          <w:rFonts w:ascii="仿宋" w:eastAsia="仿宋" w:hAnsi="仿宋" w:cs="仿宋_GB2312" w:hint="eastAsia"/>
          <w:sz w:val="32"/>
          <w:szCs w:val="32"/>
        </w:rPr>
        <w:lastRenderedPageBreak/>
        <w:t>现场提醒学生佩戴口罩、有序排队、相互间隔1米，认真配合学校开展证件查验和体温测量工作，出示相关查验证件和证明等，测温合格后方可进入校园。学校严格管控外来车辆，家长及陪同人员一律严禁进入校园。对于体温出现异常（体温达到或超过37.3℃）或可疑症状的学生，由报到辅导员引领至校医</w:t>
      </w:r>
      <w:proofErr w:type="gramStart"/>
      <w:r w:rsidRPr="001A24EF">
        <w:rPr>
          <w:rFonts w:ascii="仿宋" w:eastAsia="仿宋" w:hAnsi="仿宋" w:cs="仿宋_GB2312" w:hint="eastAsia"/>
          <w:sz w:val="32"/>
          <w:szCs w:val="32"/>
        </w:rPr>
        <w:t>院现场</w:t>
      </w:r>
      <w:proofErr w:type="gramEnd"/>
      <w:r w:rsidRPr="001A24EF">
        <w:rPr>
          <w:rFonts w:ascii="仿宋" w:eastAsia="仿宋" w:hAnsi="仿宋" w:cs="仿宋_GB2312" w:hint="eastAsia"/>
          <w:sz w:val="32"/>
          <w:szCs w:val="32"/>
        </w:rPr>
        <w:t xml:space="preserve">体温复测点进行体温复测，确认体温异常后启动突发疫情应急处置方案，由校医院按照规定安排到驻地定点医疗机构发热门诊（安徽医科大学第二附属医院）就诊。 </w:t>
      </w:r>
    </w:p>
    <w:p w:rsidR="00741D86" w:rsidRPr="001A24EF" w:rsidRDefault="00741D86" w:rsidP="00741D86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3.由保卫处、总务处设置返校通道，在学校规定的紫云路生活区北大门报到，报到入口设置学生返校专用通道。醒目标识体温监测点、公示入校检查流程及应急处置流程图。安排工作人员在现场指挥车辆及交通运行。在校内各路口增派人员值守，及时疏散引导车辆人员，确保校园秩序安全稳定。</w:t>
      </w:r>
    </w:p>
    <w:p w:rsidR="00741D86" w:rsidRPr="001A24EF" w:rsidRDefault="00741D86" w:rsidP="00741D86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4.学生报到后，学生报到工作组统筹安排各学院辅导员、</w:t>
      </w:r>
      <w:proofErr w:type="gramStart"/>
      <w:r w:rsidRPr="001A24EF">
        <w:rPr>
          <w:rFonts w:ascii="仿宋" w:eastAsia="仿宋" w:hAnsi="仿宋" w:cs="仿宋_GB2312" w:hint="eastAsia"/>
          <w:sz w:val="32"/>
          <w:szCs w:val="32"/>
        </w:rPr>
        <w:t>宿管员</w:t>
      </w:r>
      <w:proofErr w:type="gramEnd"/>
      <w:r w:rsidRPr="001A24EF">
        <w:rPr>
          <w:rFonts w:ascii="仿宋" w:eastAsia="仿宋" w:hAnsi="仿宋" w:cs="仿宋_GB2312" w:hint="eastAsia"/>
          <w:sz w:val="32"/>
          <w:szCs w:val="32"/>
        </w:rPr>
        <w:t>，在每个学生宿舍楼值班，与总务处一同协助</w:t>
      </w:r>
      <w:proofErr w:type="gramStart"/>
      <w:r w:rsidRPr="001A24EF">
        <w:rPr>
          <w:rFonts w:ascii="仿宋" w:eastAsia="仿宋" w:hAnsi="仿宋" w:cs="仿宋_GB2312" w:hint="eastAsia"/>
          <w:sz w:val="32"/>
          <w:szCs w:val="32"/>
        </w:rPr>
        <w:t>宿</w:t>
      </w:r>
      <w:proofErr w:type="gramEnd"/>
      <w:r w:rsidRPr="001A24EF">
        <w:rPr>
          <w:rFonts w:ascii="仿宋" w:eastAsia="仿宋" w:hAnsi="仿宋" w:cs="仿宋_GB2312" w:hint="eastAsia"/>
          <w:sz w:val="32"/>
          <w:szCs w:val="32"/>
        </w:rPr>
        <w:t>管办做好所有返校学生二次测量体温及所携带行李的消毒工作，学生在宿舍楼门口再次测量体温后没有异常症状方可进入学生宿舍。如发现学生有发热、咳嗽等症状，学院和报到辅导员立</w:t>
      </w:r>
      <w:r>
        <w:rPr>
          <w:rFonts w:ascii="仿宋" w:eastAsia="仿宋" w:hAnsi="仿宋" w:cs="仿宋_GB2312" w:hint="eastAsia"/>
          <w:sz w:val="32"/>
          <w:szCs w:val="32"/>
        </w:rPr>
        <w:t>即报告疫情防控领导小组，由校医院按照预案进行处置，同时报学生</w:t>
      </w:r>
      <w:r w:rsidRPr="001A24EF">
        <w:rPr>
          <w:rFonts w:ascii="仿宋" w:eastAsia="仿宋" w:hAnsi="仿宋" w:cs="仿宋_GB2312" w:hint="eastAsia"/>
          <w:sz w:val="32"/>
          <w:szCs w:val="32"/>
        </w:rPr>
        <w:t>处备案。如有初查体温异常者，引导至指定区域再次核查、处理。核查体温（</w:t>
      </w:r>
      <w:proofErr w:type="gramStart"/>
      <w:r w:rsidRPr="001A24EF">
        <w:rPr>
          <w:rFonts w:ascii="仿宋" w:eastAsia="仿宋" w:hAnsi="仿宋" w:cs="仿宋_GB2312" w:hint="eastAsia"/>
          <w:sz w:val="32"/>
          <w:szCs w:val="32"/>
        </w:rPr>
        <w:t>腋</w:t>
      </w:r>
      <w:proofErr w:type="gramEnd"/>
      <w:r w:rsidRPr="001A24EF">
        <w:rPr>
          <w:rFonts w:ascii="仿宋" w:eastAsia="仿宋" w:hAnsi="仿宋" w:cs="仿宋_GB2312" w:hint="eastAsia"/>
          <w:sz w:val="32"/>
          <w:szCs w:val="32"/>
        </w:rPr>
        <w:t>温）仍超过37.3℃的发热者，按照学校防控工作流程进行处理。</w:t>
      </w:r>
    </w:p>
    <w:p w:rsidR="00741D86" w:rsidRDefault="00741D86" w:rsidP="00741D86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t>5.不在学校同意返校名单内或不符合返校条件的学生，一律不准进入校园。对未经同意而擅自返校的学生，事后将追究学生及相关学院的责任</w:t>
      </w:r>
      <w:r w:rsidRPr="001A24EF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741D86" w:rsidRDefault="00741D86" w:rsidP="00741D86">
      <w:pPr>
        <w:spacing w:line="52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41D86" w:rsidRPr="001A24EF" w:rsidRDefault="00741D86" w:rsidP="00741D86">
      <w:pPr>
        <w:spacing w:line="52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741D86" w:rsidRPr="001A24EF" w:rsidRDefault="00741D86" w:rsidP="00741D86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lastRenderedPageBreak/>
        <w:t>具体报到流程图如下：</w:t>
      </w: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21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46355</wp:posOffset>
            </wp:positionV>
            <wp:extent cx="5381625" cy="5400675"/>
            <wp:effectExtent l="0" t="0" r="9525" b="9525"/>
            <wp:wrapTight wrapText="bothSides">
              <wp:wrapPolygon edited="0">
                <wp:start x="0" y="0"/>
                <wp:lineTo x="0" y="21562"/>
                <wp:lineTo x="21562" y="21562"/>
                <wp:lineTo x="21562" y="0"/>
                <wp:lineTo x="0" y="0"/>
              </wp:wrapPolygon>
            </wp:wrapTight>
            <wp:docPr id="1" name="图片 1" descr="说明: QQ图片2020082408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QQ图片202008240817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</w:p>
    <w:p w:rsidR="00741D86" w:rsidRDefault="00741D86" w:rsidP="00741D86">
      <w:pPr>
        <w:adjustRightInd w:val="0"/>
        <w:snapToGrid w:val="0"/>
        <w:spacing w:line="500" w:lineRule="exact"/>
        <w:ind w:firstLineChars="100" w:firstLine="320"/>
        <w:jc w:val="left"/>
        <w:rPr>
          <w:rFonts w:ascii="黑体" w:eastAsia="黑体" w:hint="eastAsia"/>
          <w:sz w:val="32"/>
          <w:u w:val="single"/>
          <w:shd w:val="clear" w:color="050000" w:fill="auto"/>
        </w:rPr>
      </w:pPr>
      <w:bookmarkStart w:id="0" w:name="_GoBack"/>
      <w:bookmarkEnd w:id="0"/>
    </w:p>
    <w:p w:rsidR="00741D86" w:rsidRDefault="00741D86" w:rsidP="00741D86">
      <w:pPr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1A24EF">
        <w:rPr>
          <w:rFonts w:ascii="仿宋" w:eastAsia="仿宋" w:hAnsi="仿宋" w:cs="仿宋_GB2312" w:hint="eastAsia"/>
          <w:sz w:val="32"/>
          <w:szCs w:val="32"/>
        </w:rPr>
        <w:lastRenderedPageBreak/>
        <w:t>学生报到通行证（样表）如下：</w:t>
      </w:r>
    </w:p>
    <w:p w:rsidR="00741D86" w:rsidRPr="001A24EF" w:rsidRDefault="00741D86" w:rsidP="00741D86">
      <w:pPr>
        <w:spacing w:line="500" w:lineRule="exact"/>
        <w:rPr>
          <w:rFonts w:ascii="仿宋" w:eastAsia="仿宋" w:hAnsi="仿宋" w:cs="仿宋_GB2312"/>
          <w:sz w:val="32"/>
          <w:szCs w:val="32"/>
        </w:rPr>
      </w:pPr>
    </w:p>
    <w:tbl>
      <w:tblPr>
        <w:tblW w:w="74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7"/>
      </w:tblGrid>
      <w:tr w:rsidR="00741D86" w:rsidTr="007C00CB">
        <w:trPr>
          <w:trHeight w:val="435"/>
          <w:jc w:val="center"/>
        </w:trPr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34"/>
                <w:szCs w:val="34"/>
              </w:rPr>
            </w:pPr>
            <w:r>
              <w:rPr>
                <w:rFonts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安徽三联学院学</w:t>
            </w:r>
            <w:r>
              <w:rPr>
                <w:rStyle w:val="font51"/>
                <w:rFonts w:hint="default"/>
                <w:sz w:val="44"/>
                <w:szCs w:val="44"/>
                <w:lang w:bidi="ar"/>
              </w:rPr>
              <w:t>生报到通行证（样表）</w:t>
            </w:r>
          </w:p>
        </w:tc>
      </w:tr>
      <w:tr w:rsidR="00741D86" w:rsidTr="007C00CB">
        <w:trPr>
          <w:trHeight w:val="270"/>
          <w:jc w:val="center"/>
        </w:trPr>
        <w:tc>
          <w:tcPr>
            <w:tcW w:w="74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jc w:val="center"/>
              <w:rPr>
                <w:rFonts w:cs="宋体"/>
                <w:b/>
                <w:color w:val="000000"/>
                <w:sz w:val="36"/>
                <w:szCs w:val="36"/>
              </w:rPr>
            </w:pPr>
          </w:p>
        </w:tc>
      </w:tr>
      <w:tr w:rsidR="00741D86" w:rsidTr="007C00CB">
        <w:trPr>
          <w:trHeight w:val="240"/>
          <w:jc w:val="center"/>
        </w:trPr>
        <w:tc>
          <w:tcPr>
            <w:tcW w:w="74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jc w:val="center"/>
              <w:rPr>
                <w:rFonts w:cs="宋体"/>
                <w:b/>
                <w:color w:val="000000"/>
                <w:sz w:val="36"/>
                <w:szCs w:val="36"/>
              </w:rPr>
            </w:pP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 </w:t>
            </w:r>
            <w:r>
              <w:rPr>
                <w:rStyle w:val="font21"/>
                <w:rFonts w:ascii="仿宋_GB2312" w:eastAsia="仿宋_GB2312" w:hAnsi="仿宋_GB2312" w:cs="仿宋_GB2312" w:hint="default"/>
                <w:sz w:val="44"/>
                <w:szCs w:val="44"/>
                <w:lang w:bidi="ar"/>
              </w:rPr>
              <w:t xml:space="preserve">         </w:t>
            </w:r>
            <w:r>
              <w:rPr>
                <w:rStyle w:val="font11"/>
                <w:rFonts w:ascii="仿宋_GB2312" w:eastAsia="仿宋_GB2312" w:hAnsi="仿宋_GB2312" w:cs="仿宋_GB2312" w:hint="default"/>
                <w:sz w:val="44"/>
                <w:szCs w:val="44"/>
                <w:lang w:bidi="ar"/>
              </w:rPr>
              <w:t>同学：</w:t>
            </w: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    经核对你近14日的健康情况正常。</w:t>
            </w: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44"/>
                <w:szCs w:val="44"/>
                <w:lang w:bidi="ar"/>
              </w:rPr>
              <w:t>经今日检测，你的体温正常。</w:t>
            </w: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</w:p>
        </w:tc>
      </w:tr>
      <w:tr w:rsidR="00741D86" w:rsidTr="007C00CB">
        <w:trPr>
          <w:trHeight w:val="57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    允许入校。</w:t>
            </w: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               学院（盖章）</w:t>
            </w: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               经办人签名：</w:t>
            </w:r>
          </w:p>
        </w:tc>
      </w:tr>
      <w:tr w:rsidR="00741D86" w:rsidTr="007C00CB">
        <w:trPr>
          <w:trHeight w:val="36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44"/>
                <w:szCs w:val="44"/>
                <w:lang w:bidi="ar"/>
              </w:rPr>
              <w:t xml:space="preserve">                     日期：</w:t>
            </w:r>
          </w:p>
        </w:tc>
      </w:tr>
      <w:tr w:rsidR="00741D86" w:rsidTr="007C00CB">
        <w:trPr>
          <w:trHeight w:val="375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741D86" w:rsidTr="007C00CB">
        <w:trPr>
          <w:trHeight w:val="300"/>
          <w:jc w:val="center"/>
        </w:trPr>
        <w:tc>
          <w:tcPr>
            <w:tcW w:w="7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D86" w:rsidRDefault="00741D86" w:rsidP="007C00CB">
            <w:pPr>
              <w:rPr>
                <w:rFonts w:cs="宋体"/>
                <w:color w:val="000000"/>
                <w:sz w:val="24"/>
              </w:rPr>
            </w:pPr>
          </w:p>
        </w:tc>
      </w:tr>
    </w:tbl>
    <w:p w:rsidR="00741D86" w:rsidRPr="001A24EF" w:rsidRDefault="00741D86" w:rsidP="00741D86">
      <w:pPr>
        <w:spacing w:line="500" w:lineRule="exact"/>
        <w:ind w:firstLineChars="800" w:firstLine="1680"/>
        <w:rPr>
          <w:rFonts w:ascii="仿宋" w:eastAsia="仿宋" w:hAnsi="仿宋" w:cs="仿宋"/>
          <w:color w:val="000000"/>
          <w:szCs w:val="21"/>
        </w:rPr>
      </w:pPr>
      <w:r w:rsidRPr="001A24EF">
        <w:rPr>
          <w:rFonts w:ascii="仿宋" w:eastAsia="仿宋" w:hAnsi="仿宋" w:cs="仿宋" w:hint="eastAsia"/>
          <w:color w:val="000000"/>
          <w:szCs w:val="21"/>
        </w:rPr>
        <w:t>*本通行证请设置A4纸每页并打4版</w:t>
      </w:r>
    </w:p>
    <w:p w:rsidR="00D0236F" w:rsidRPr="00741D86" w:rsidRDefault="00D0236F"/>
    <w:sectPr w:rsidR="00D0236F" w:rsidRPr="00741D86" w:rsidSect="00741D86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F5" w:rsidRDefault="000B40F5" w:rsidP="00741D86">
      <w:r>
        <w:separator/>
      </w:r>
    </w:p>
  </w:endnote>
  <w:endnote w:type="continuationSeparator" w:id="0">
    <w:p w:rsidR="000B40F5" w:rsidRDefault="000B40F5" w:rsidP="0074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F5" w:rsidRDefault="000B40F5" w:rsidP="00741D86">
      <w:r>
        <w:separator/>
      </w:r>
    </w:p>
  </w:footnote>
  <w:footnote w:type="continuationSeparator" w:id="0">
    <w:p w:rsidR="000B40F5" w:rsidRDefault="000B40F5" w:rsidP="0074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45"/>
    <w:rsid w:val="000B40F5"/>
    <w:rsid w:val="002C3C45"/>
    <w:rsid w:val="00741D86"/>
    <w:rsid w:val="00D0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6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D86"/>
    <w:rPr>
      <w:sz w:val="18"/>
      <w:szCs w:val="18"/>
    </w:rPr>
  </w:style>
  <w:style w:type="character" w:customStyle="1" w:styleId="font51">
    <w:name w:val="font51"/>
    <w:qFormat/>
    <w:rsid w:val="00741D86"/>
    <w:rPr>
      <w:rFonts w:ascii="宋体" w:eastAsia="宋体" w:hAnsi="宋体" w:cs="宋体" w:hint="eastAsia"/>
      <w:b/>
      <w:color w:val="000000"/>
      <w:sz w:val="34"/>
      <w:szCs w:val="34"/>
      <w:u w:val="none"/>
    </w:rPr>
  </w:style>
  <w:style w:type="character" w:customStyle="1" w:styleId="font21">
    <w:name w:val="font21"/>
    <w:qFormat/>
    <w:rsid w:val="00741D86"/>
    <w:rPr>
      <w:rFonts w:ascii="宋体" w:eastAsia="宋体" w:hAnsi="宋体" w:cs="宋体" w:hint="eastAsia"/>
      <w:color w:val="000000"/>
      <w:sz w:val="27"/>
      <w:szCs w:val="27"/>
      <w:u w:val="single"/>
    </w:rPr>
  </w:style>
  <w:style w:type="character" w:customStyle="1" w:styleId="font11">
    <w:name w:val="font11"/>
    <w:qFormat/>
    <w:rsid w:val="00741D86"/>
    <w:rPr>
      <w:rFonts w:ascii="宋体" w:eastAsia="宋体" w:hAnsi="宋体" w:cs="宋体" w:hint="eastAsia"/>
      <w:color w:val="000000"/>
      <w:sz w:val="27"/>
      <w:szCs w:val="2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6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D86"/>
    <w:rPr>
      <w:sz w:val="18"/>
      <w:szCs w:val="18"/>
    </w:rPr>
  </w:style>
  <w:style w:type="character" w:customStyle="1" w:styleId="font51">
    <w:name w:val="font51"/>
    <w:qFormat/>
    <w:rsid w:val="00741D86"/>
    <w:rPr>
      <w:rFonts w:ascii="宋体" w:eastAsia="宋体" w:hAnsi="宋体" w:cs="宋体" w:hint="eastAsia"/>
      <w:b/>
      <w:color w:val="000000"/>
      <w:sz w:val="34"/>
      <w:szCs w:val="34"/>
      <w:u w:val="none"/>
    </w:rPr>
  </w:style>
  <w:style w:type="character" w:customStyle="1" w:styleId="font21">
    <w:name w:val="font21"/>
    <w:qFormat/>
    <w:rsid w:val="00741D86"/>
    <w:rPr>
      <w:rFonts w:ascii="宋体" w:eastAsia="宋体" w:hAnsi="宋体" w:cs="宋体" w:hint="eastAsia"/>
      <w:color w:val="000000"/>
      <w:sz w:val="27"/>
      <w:szCs w:val="27"/>
      <w:u w:val="single"/>
    </w:rPr>
  </w:style>
  <w:style w:type="character" w:customStyle="1" w:styleId="font11">
    <w:name w:val="font11"/>
    <w:qFormat/>
    <w:rsid w:val="00741D86"/>
    <w:rPr>
      <w:rFonts w:ascii="宋体" w:eastAsia="宋体" w:hAnsi="宋体" w:cs="宋体" w:hint="eastAsia"/>
      <w:color w:val="000000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</Words>
  <Characters>1646</Characters>
  <Application>Microsoft Office Word</Application>
  <DocSecurity>0</DocSecurity>
  <Lines>13</Lines>
  <Paragraphs>3</Paragraphs>
  <ScaleCrop>false</ScaleCrop>
  <Company>China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2020-09-01T03:33:00Z</dcterms:created>
  <dcterms:modified xsi:type="dcterms:W3CDTF">2020-09-01T03:34:00Z</dcterms:modified>
</cp:coreProperties>
</file>